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9 vom 6. März 2024</w:t>
      </w:r>
    </w:p>
    <w:p>
      <w:r>
        <w:t>VS Kantonsgericht, 2024-03-06, FR</w:t>
      </w:r>
    </w:p>
    <w:p>
      <w:r>
        <w:rPr>
          <w:b/>
        </w:rPr>
        <w:t xml:space="preserve">Quelle: </w:t>
      </w:r>
      <w:r>
        <w:t>https://mcp.opencaselaw.ch/entscheid/vs_gerichte_C1 24 9</w:t>
      </w:r>
    </w:p>
    <w:p>
      <w:r>
        <w:t>FR: VS_GERICHTE C1 24 9 du 6 mars 2024</w:t>
      </w:r>
    </w:p>
    <w:p>
      <w:r>
        <w:t>IT: VS_GERICHTE C1 24 9 del 6 marzo 2024</w:t>
      </w:r>
    </w:p>
    <w:p>
      <w:pPr>
        <w:pStyle w:val="Heading2"/>
      </w:pPr>
      <w:r>
        <w:t>Regeste</w:t>
      </w:r>
    </w:p>
    <w:p>
      <w:r>
        <w:t>C1 24 9 ARRÊT DU 6 MARS 2024 Cour civile II Bertrand Dayer, juge ; Yves Burnier, greffier en la cause W _________, demanderesse et appelante, représentée par Maître X _________ contre Y _________, défendeur et appelé, représenté par Maître Z _________ (litispendance préexistante ; compétence matérielle du juge du divorce) appel contre la décision du juge II du district de Sierre du 30 novembre 2023 (C1 23 220)</w:t>
      </w:r>
    </w:p>
    <w:p>
      <w:pPr>
        <w:pStyle w:val="Heading2"/>
      </w:pPr>
      <w:r>
        <w:t>Erwägungen</w:t>
      </w:r>
    </w:p>
    <w:p>
      <w:r>
        <w:rPr>
          <w:b/>
        </w:rPr>
        <w:t>E. 7.1</w:t>
      </w:r>
    </w:p>
    <w:p>
      <w:r>
        <w:t>Les décisions finales de première instance peuvent faire l’objet d’un appel au Tribunal cantonal (art. 5 al. 1 let. b LACPC) si, dans les affaires patrimoniales, la valeur litigieuse au dernier état des conclusions est égale ou supérieure à 10'000 fr. (art. 308 al. 1 let. a et al. 2 CPC).</w:t>
      </w:r>
    </w:p>
    <w:p>
      <w:r>
        <w:t>- 10 - Dans la demande du 27 novembre 2023, la valeur des biens encore entreposés dans le local sis B _________ - qui font l’objet de l’action en revendication - est évaluée « pour l'heure » à 25'000 fr. (p. 3). Rien ne permet, en l’état, de tenir cette estimation pour « manifestement erronée » (cf. art. 91 al. 2 CPC), de sorte que seule la voie de l’appel est ouverte en l’espèce.</w:t>
      </w:r>
    </w:p>
    <w:p>
      <w:r>
        <w:rPr>
          <w:b/>
        </w:rPr>
        <w:t>E. 7.2</w:t>
      </w:r>
    </w:p>
    <w:p>
      <w:r>
        <w:t>Le présent arrêt peut ressortir à un juge unique (art. 5 al. 2 let. c LACPC, en relation avec l’art. 243 al. 1 CPC).</w:t>
      </w:r>
    </w:p>
    <w:p>
      <w:r>
        <w:rPr>
          <w:b/>
        </w:rPr>
        <w:t>E. 7.2.1</w:t>
      </w:r>
    </w:p>
    <w:p>
      <w:r>
        <w:t>et la réf. citée). L’objet du litige (Streitgegenstand) se détermine par les conclusions de la demande, à savoir le prononcé requis, et par le conglomérat de faits à la base de ladite demande (BOHNET, Commentaire romand, 2e éd., 2019, n. 47 ad art. 59 CPC). D’après l'art. 64 al. 1 let. a CPC, la litispendance déploie son effet à l'égard d'une procédure subséquente ouverte « devant une autre autorité » (« anderweitig » ; « altrove »). Cette formulation, qui correspond au cas se présentant le plus fréquemment, ne se retrouve pas à l'art. 59 al. 2 let. d CPC, lequel mentionne simplement une « litispendance préexistante » ; elle ne doit pas être prise au pied de la lettre et</w:t>
      </w:r>
    </w:p>
    <w:p>
      <w:r>
        <w:t>- 13 - n'exclut pas que l'exception de litispendance soit invoquée à l'égard d'une procédure introduite ultérieurement devant le même tribunal. En effet, le risque de décisions contradictoires n'est pas totalement exclu dans les tribunaux comportant de nombreuses chambres, comme le Tribunal de première instance du canton de Genève. Mais surtout, l'effet négatif de la litispendance à l'égard d'une seconde procédure introduite devant le même tribunal correspond au but général de ce principe, qui est précisément d'éviter la conduite de deux procès dans le même litige opposant les mêmes parties (arrêt 4A_141/2013 précité consid. 2.2.1 et les réf. citées).</w:t>
      </w:r>
    </w:p>
    <w:p>
      <w:r>
        <w:rPr>
          <w:b/>
        </w:rPr>
        <w:t>E. 7.3</w:t>
      </w:r>
    </w:p>
    <w:p>
      <w:r>
        <w:t>Remis à la poste le 18 janvier 2024, l’appel a été formé dans le délai légal de 30 jours (art. 311 al. 1 CPC), qui a couru dès la réception par le mandataire de l’appelante - le 4 décembre 2023 - de la décision entreprise et qui a été suspendu du 18 décembre 2023 au 2 janvier 2024 (art. 145 al. 1 let. c CPC).</w:t>
      </w:r>
    </w:p>
    <w:p>
      <w:r>
        <w:rPr>
          <w:b/>
        </w:rPr>
        <w:t>E. 8.1</w:t>
      </w:r>
    </w:p>
    <w:p>
      <w:r>
        <w:t>L’appel peut être formé pour violation du droit et constatation inexacte des faits (art. 310 CPC). L’autorité d’appel traite avec une pleine cognition les griefs pris de la mauvaise application du droit - fédéral, cantonal ou étranger - et de la constatation inexacte des faits par le juge de première instance (REETZ/THEILER, in : Sutter- Somm/Hasenböhler/Leuenberger [édit.], Kommentar zur Schweizerischen Zivilprozessordnung, 3e éd., 2016, n. 6, 13 ss et 27 ss ad art. 310 CPC). Elle applique le droit d’office, sans être liée par les motifs invoqués par les parties ou le tribunal de première instance. Elle peut, ainsi, substituer ses propres motifs à ceux de la décision attaquée (ATF 144 III 462 consid. 3.2.2 ; HOHL, Procédure civile, t. II, 2e éd., 2010, n. 2396 et 2416). Cela n’implique toutefois pas qu’elle doive, comme le tribunal de première instance, examiner l’ensemble des questions de fait et de droit lorsque les parties ne les ont plus contestées en deuxième instance. Sous réserve des inexactitudes manifestes, elle doit en principe se limiter aux griefs formulés contre le jugement de première instance dans les motivations écrites des parties (cf. art. 311 al. 1 et 312 al. 1 CPC ; ATF 144 III 394 consid. 4.1.4 ; 142 III 413 consid. 2.2.4).</w:t>
      </w:r>
    </w:p>
    <w:p>
      <w:r>
        <w:rPr>
          <w:b/>
        </w:rPr>
        <w:t>E. 8.2</w:t>
      </w:r>
    </w:p>
    <w:p>
      <w:r>
        <w:t>Sous peine d’irrecevabilité, l’écriture d’appel doit être motivée (cf. art. 311 al. 1 CPC). Cela signifie que l’appelant doit y indiquer, de manière succincte, en quoi le tribunal de première instance a méconnu le droit et/ou constaté les faits ou apprécié les preuves de manière erronée (REETZ/THEILER, op. cit., n. 36 ad art. 311 CPC). Pour satisfaire à ces exigences, sa motivation doit être suffisamment explicite pour que l'instance d'appel puisse la comprendre aisément, ce qui suppose une désignation précise des passages de la décision que l’appelant attaque et des pièces du dossier sur lesquelles repose sa</w:t>
      </w:r>
    </w:p>
    <w:p>
      <w:r>
        <w:t>- 11 - critique (ATF 138 III 374 consid. 4.3.1).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5A_779/2021-5A_787/2021 du 16 décembre 2022 consid. 4.3.1 et les réf. citées). Il incombe également à l’appelant, compte tenu de l’effet réformatoire de l’appel, de formuler ses conclusions de telle manière à permettre à l’autorité d’appel de statuer au fond en cas d’admission de celui-ci (ATF 137 III 617 consid. 4.2.2 ; HUNGERBÜHLER/BUCHER, in : Brunner/Gasser/Schwander [édit.], Schweizerische Zivilprozessordnung, 2e éd., 2016, n. 16 ad art. 311 CPC). Si la demande tend au paiement d’une somme d’argent, l’appelant (demandeur) doit ainsi, à peine d’irrecevabilité, chiffrer ses conclusions (ATF 137 III 617 consid. 4.3 ; arrêt 4A_455/2022 du 11 avril 2023 consid. 2.4 et 2.6) et ne peut donc en principe pas se contenter de conclure à l’annulation de la décision entreprise (TAPPY, Les voies de droit du nouveau Code de procédure civile, in : JdT 2010 III p. 138 ; cf., ég., ATF 133 III 489 consid. 3).</w:t>
      </w:r>
    </w:p>
    <w:p>
      <w:r>
        <w:rPr>
          <w:b/>
        </w:rPr>
        <w:t>E. 9.1</w:t>
      </w:r>
    </w:p>
    <w:p>
      <w:r>
        <w:t>La motivation de la décision entreprise se résume à ce qui suit : b) En l'occurrence, une procédure de divorce est pendante devant le Tribunal du district de Sierre, laquelle oppose Monsieur Y _________ à Madame W _________ (cause C1 14 109 ; all. 24 de la demande). Dans le cadre de cette procédure, et selon le principe de l'unité du jugement de divorce, le juge devra trancher l'ensemble des effets accessoires du divorce, notamment les questions liées à la répartition des biens entre les époux. Vu ce qui précède, je constate que la demande du 27 novembre 2023 est irrecevable pour cause de litispendance préexistante (art. 59 al. 2 let. d CPC).</w:t>
      </w:r>
    </w:p>
    <w:p>
      <w:r>
        <w:rPr>
          <w:b/>
        </w:rPr>
        <w:t>E. 9.2</w:t>
      </w:r>
    </w:p>
    <w:p>
      <w:r>
        <w:t>L’appelante argue d’une violation de l’art. 59 al. 2 let. d CPC et du « principe de l'unité de la procédure de divorce ». Elle reproche au premier juge, à cet égard, d’avoir omis d’ « examiner si la question de l'attribution des biens mobiliers entre les époux soumis au régime de la séparation de biens avait fait l'objet d'une conclusion dans le cadre de la procédure de divorce, cette question relevant par ailleurs de la maxime de</w:t>
      </w:r>
    </w:p>
    <w:p>
      <w:r>
        <w:t>- 12 - disposition ». Or, « faute de conclusion chiffrée, ou du moins déterminée au sujet de l'attribution, respectivement de la répartition des objets mobiliers dans le cadre de la procédure de divorce, la demande civile au fond déposée le 27 novembre 2023 et qui listait précisément les biens mobiliers revendiqués par [l’appelante] n'entrait pas en contradiction avec la procédure de divorce, qui n'était pas concernée, faute de conclusion à cet effet, par cet objet du litige, de sorte que c'est en violation de l'art. 59 al. 1 et al. 2 let. d [CPC] que [ce magistrat] a constaté l'irrecevabilité de la demande du 27 novembre 2023 ».</w:t>
      </w:r>
    </w:p>
    <w:p>
      <w:r>
        <w:rPr>
          <w:b/>
        </w:rPr>
        <w:t>E. 10.1</w:t>
      </w:r>
    </w:p>
    <w:p>
      <w:r>
        <w:t>Le tribunal n’entre en matière que sur les demandes et les requêtes qui satisfont aux conditions de recevabilité de l’action (art. 59 al. 1 CPC). Le dépôt de l'acte introductif d'instance (requête de conciliation, demande ou requête en justice notamment) marque le début de la litispendance (art. 62 al. 1 CPC). Selon l'art. 64 al. 1 let. a CPC, la litispendance a pour effet que la même cause, opposant les mêmes parties, ne peut être portée en justice devant une autre autorité (effet négatif de la litispendance ; Sperrwirkung). L'art. 59 al. 2 let. d CPC range l'absence d'une litispendance préexistante parmi les conditions de recevabilité de l'action (arrêt 4A_141/2013 du 22 août 2013 consid. 2.2). A l'instar du principe de l'autorité de la chose jugée, le principe de la litispendance tend en particulier à éviter qu'il existe, dans un ordre juridique déterminé, deux décisions judiciaires contradictoires sur la même action et entre les mêmes parties, qui seraient également et simultanément exécutoires. Plus généralement, il s'agit de prévenir les procédés inutiles de nature à surcharger les tribunaux, en empêchant qu'une contestation identique fasse l'objet de plusieurs procès distincts et simultanés entre les mêmes parties. La notion de cause juridique ne doit pas être comprise dans son sens technique de norme invoquée, mais dans le sens du fondement dont est issue la prétention (arrêt 5A_455/2022 du 9 novembre 2022 consid.</w:t>
      </w:r>
    </w:p>
    <w:p>
      <w:r>
        <w:rPr>
          <w:b/>
        </w:rPr>
        <w:t>E. 10.2.1</w:t>
      </w:r>
    </w:p>
    <w:p>
      <w:r>
        <w:t>Conformément au principe de l'unité du jugement de divorce, consacré à l'art. 283 al. 1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Les prétentions suivantes devront par conséquent être tranchées par le jugement de divorce : entretien post-divorce, liquidation du régime matrimonial, prétentions sur le logement, sort des enfants, frais et dépens, mais aussi toutes autres prétentions qui sont en rapport étroit avec le mariage et avec l’obligation d’assistance mutuelle qui en résulte (LEUBA/MEIER/PAPAUX VAN DELDEN, Droit du divorce, 2021, n. 2659). Cette règle, dont l'objectif est d'assurer un règlement uniforme et cohérent de toutes les questions relatives au divorce, s'applique aussi aux créances entre conjoints qui ne résultent pas du régime matrimonial, pourvu qu'elles soient en rapport avec l'union conjugale et avec l'obligation d'assistance mutuelle qui en résulte. Elle s'étend ainsi également aux époux soumis au régime de la séparation de biens, lequel ne prévoit pas de biens matrimoniaux et de liquidation des biens (art. 247 CC) (arrêt 5A_182/2018 du 25 juin 2018 consid. 3.2 et les réf. citées). Les questions relatives à l’attribution d’un bien en copropriété (art. 251 CC), si elle est requise par un des époux séparés de biens, devront ainsi être réglées dans le jugement de divorce, de même que les rapports juridiques des époux fondés sur les droits réels ou le droit des obligations (p. ex. contrat de prêt ou société simple) (LEUBA/MEIER/PAPAUX VAN DELDEN, op. cit., n. 241).</w:t>
      </w:r>
    </w:p>
    <w:p>
      <w:r>
        <w:rPr>
          <w:b/>
        </w:rPr>
        <w:t>E. 10.2.2</w:t>
      </w:r>
    </w:p>
    <w:p>
      <w:r>
        <w:t>Le principe de l'unité du jugement de divorce n'exclut toutefois pas une décision partielle limitée au principe du divorce. Pour cela, il faut que les deux époux consentent à une telle décision ou que l'intérêt de l'un d'eux à obtenir une décision partielle soit supérieur à l'intérêt de l'autre à obtenir une décision unique réglant tant le principe que les effets du divorce. Le recourant qui souhaite se remarier et demande une décision</w:t>
      </w:r>
    </w:p>
    <w:p>
      <w:r>
        <w:t>- 14 - immédiate sur la question du divorce peut invoquer, à l'appui de son intérêt, son droit constitutionnel au mariage au sens de l'art. 14 Cst. féd., lequel comprend le droit de se remarier. Pour qu'une décision séparée sur le principe du divorce soit prononcée, encore faut-il que la question du divorce soit liquide, respectivement que le motif de divorce soit manifestement réalisé, et que le traitement de la procédure sur les effets du divorce tire fortement en longueur. Le refus de prononcer un jugement partiel limité au principe du divorce est susceptible de porter atteinte au droit constitutionnel au mariage (art. 14 Cst. féd.), l'époux ne pouvant pas contracter une nouvelle union tant qu'un précédent mariage n'a pas été définitivement dissous (art. 96 CC) (arrêt 5A_887/2022 du 19 avril 2023 consid. 3.1 et les réf. citées).</w:t>
      </w:r>
    </w:p>
    <w:p>
      <w:r>
        <w:rPr>
          <w:b/>
        </w:rPr>
        <w:t>E. 10.2.3</w:t>
      </w:r>
    </w:p>
    <w:p>
      <w:r>
        <w:t>Lorsque le juge du divorce a tranché, par une décision partielle, le principe du divorce, il demeure matériellement (seul) compétent pour régler tous les effets accessoires de celui-ci (arrêt 5A_633/2015 du 18 février 2016 consid. 4.1.2 et les réf. citées ; LEUBA/MEIER/PAPAUX VAN DELDEN, op. cit., n. 2668 ; TAPPY, Commentaire romand, 2e éd., 2019, n. 20 ad art. 283 CPC ; FANKHAUSER, in : Sutter- Somm/Hasenböhler/Leuenberger, op. cit., n. 11 ad art. 283 CPC), y compris les créances entre conjoints qui ne résultent pas du régime matrimonial mais qui sont en rapport avec l'union conjugale et avec l'obligation d'assistance mutuelle qui en résulte (cf. arrêt 5A_633/2015 précité consid. 4.1.2). La compétence du juge ordinaire des conflits patrimoniaux ne peut entrer en considération que dans les (rares) cas où seules sont litigieuses des créances qui n'ont absolument aucun rapport avec la communauté matrimoniale, telles que des prétentions découlant de la responsabilité extracontractuelle (ATF 111 II 401 consid. 4b) ou de la violation des droits de la personnalité (FANKHAUSER/BLEICHENBACHER, in : Fankhauser [édit.], FamKomm Scheidung, t. II, 4e éd., 2022, n. 11 ad art. 283 CPC). Une demande déposée ultérieurement devant un autre tribunal que celui du divorce qui se limite à la liquidation du régime matrimonial n’est dès lors pas admissible (FOUNTOULAKIS/D’ANDRÈS, in : Chabloz/Dietschy-Martenet/Heinzmann, Code de procédure civile, Petit commentaire, 2021, n. 10 ad art. 283 CPC et la réf. citée). C'est la seule façon de garantir le règlement, autant que possible sans contradictions et dans leur ensemble, de toutes les questions soulevées par le divorce. Permettre que certaines créances particulières découlant du régime matrimonial soient détachées de la procédure de divorce et puissent être l'objet d'une action devant un autre juge ferait naître le risque de jugements non concordants, voire contradictoires (ATF 108 II 381 consid. 4).</w:t>
      </w:r>
    </w:p>
    <w:p>
      <w:r>
        <w:t>- 15 -</w:t>
      </w:r>
    </w:p>
    <w:p>
      <w:r>
        <w:rPr>
          <w:b/>
        </w:rPr>
        <w:t>E. 10.3</w:t>
      </w:r>
    </w:p>
    <w:p>
      <w:r>
        <w:t>Il ne paraît tout d’abord pas superflu de relever que, quand bien même le dépôt de la requête de conciliation du 15 juin 2023 n’aurait pas permis de respecter le délai de 30 jours fixé au chiffre 8 du dispositif du jugement pénal du 15 mai 2023 - question qui souffre de demeurer indécise en l’occurrence -, cela n’entraînerait pas la perte de l’éventuel droit de propriété de l’appelante sur les objets litigieux. La fixation d’un tel délai aux « réclamants » pour « intenter une action civile » au sens de l’art. 267 al. 5 CPP ne vise en effet qu’à prémunir le tribunal contre le reproche d’une attribution infondée des objets ou valeurs patrimoniales séquestrés, mais non à trancher les rapports de droit privé y relatifs (BOMMER/GOLDSCHMID, Basler Kommentar, 3e éd., 2023, n. 20 ad art. 267 CPP). Cela étant précisé, il n’est pas douteux que la propriété des objets considérés est une question qui relève des rapports entre les époux séparés de biens. Il s’agit en effet de biens mobiliers qui se trouvaient dans le chalet conjugal « H _________ » - dont les intéressés avaient ainsi la possession durant la vie commune - et que l’appelante a fait transporter dans le local loué à A _________ SA à B _________ entre le 20 octobre et le 23 novembre 2016 (cf. le jugement TCV P1 21 58 du 15 mai 2023 consid. 7 et 38.2). Or, il ne ressort pas des actes de la procédure de divorce que l’appelante y ait formulé des conclusions expresses tendant à l’attribution de ces biens. Au chiffre 8 des conclusions de la duplique du 9 juillet 2018, elle s’est bornée à solliciter du juge de district qu’il lui fixe un délai, « [à] l’issue de la reddition de comptes et de la production par [l’appelé] de toutes les pièces requises, […] pour prendre des conclusions sur la restitution d’objets (liquidation improprement dite du régime matrimonial de séparation de biens) ». Comme l’appelante le relève à juste titre (cf. l’écriture d’appel, p. 10), cette question est soumise à la maxime (ou principe) de disposition (LEUBA/MEIER/PAPAUX VAN DELDEN, op. cit., n. 2483), de sorte que, sauf à violer ce principe, le juge ne saurait attribuer d’office la propriété des biens litigieux à l’un ou l’autre des conjoints (art. 58 al. 1 CPC). C’est à tort, dans ces conditions, que le premier magistrat a considéré que la répartition des biens visés par la demande déposée devant lui le 27 novembre 2023 faisait l’objet d’une litispendance préexistante. Les développements qui précèdent ne conduisent toutefois pas à l’admission de l’appel. Comme on vient de le voir, la propriété des biens considérés ressortit à la liquidation des rapports entre époux. Conformément aux principes susrappelés (consid. 10.2.3), le juge du divorce est dès lors seul compétent à raison de la matière pour trancher cette question, à l’exclusion du juge « ordinaire » des conflits patrimoniaux. Par conséquent, c’est devant le juge de district saisi de la procédure de divorce SIE C1 14 109, qui se</w:t>
      </w:r>
    </w:p>
    <w:p>
      <w:r>
        <w:t>- 16 - poursuit désormais « sous le numéro de cause [SIE] C1 22 191 » (cf. le ch. 1 du dispositif du jugement rendu le 19 décembre 2022 par le juge II du district de Sierre, confirmé par arrêt du Tribunal cantonal du 4 mars 2024 [TCV C1 23 27]), que l’appelante aurait dû revendiquer la propriété des biens mobiliers en question. La demande déposée le 27 novembre 2023 l’a donc été devant un juge matériellement incompétent. Elle est donc irrecevable. Il s’ensuit le rejet de l’appel et la confirmation, par substitution de motifs, de la décision entreprise (art. 318 al. 1 let. a CPC).</w:t>
      </w:r>
    </w:p>
    <w:p>
      <w:r>
        <w:rPr>
          <w:b/>
        </w:rPr>
        <w:t>E. 11.1</w:t>
      </w:r>
    </w:p>
    <w:p>
      <w:r>
        <w:t>Les frais de la procédure d’appel sont mis à la charge de l’appelante qui succombe (art. 106 al. 1 CPC). Compte tenu de la valeur litigieuse, du degré usuel de difficulté de la cause et de la situation financière de l’appelante, ainsi que des principes de la couverture des frais et de l’équivalence des prestations (art. 13 al. 1 et 2 LTar) l’émolument forfaitaire de la présente décision (art. 95 al. 2 let. b CPC) est arrêté à 1200 fr. (art. 16 al. 1 et 19 LTar).</w:t>
      </w:r>
    </w:p>
    <w:p>
      <w:r>
        <w:rPr>
          <w:b/>
        </w:rPr>
        <w:t>E. 11.2</w:t>
      </w:r>
    </w:p>
    <w:p>
      <w:r>
        <w:t>Il n’est pas alloué de dépens à l’appelé, qui a renoncé à répondre à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